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China Digital Governance — Analytical Report</w:t>
      </w:r>
    </w:p>
    <w:p>
      <w:r>
        <w:rPr>
          <w:color w:val="666666"/>
          <w:sz w:val="18"/>
          <w:szCs w:val="18"/>
        </w:rPr>
        <w:t xml:space="preserve">Generated: 2026-04-08 | Scope: China Digital Governance (demo set) | Template: Academic Style</w:t>
      </w:r>
    </w:p>
    <w:p>
      <w:r>
        <w:rPr>
          <w:color w:val="666666"/>
          <w:sz w:val="18"/>
          <w:szCs w:val="18"/>
        </w:rPr>
        <w:t xml:space="preserve">Period: 2026-03-01 — 2026-03-31 | Claims: 2 | Evidence records: 2</w:t>
      </w:r>
    </w:p>
    <w:p/>
    <w:p>
      <w:pPr>
        <w:pStyle w:val="Heading2"/>
      </w:pPr>
      <w:r>
        <w:t xml:space="preserve">1. Context</w:t>
      </w:r>
    </w:p>
    <w:p>
      <w:r>
        <w:t xml:space="preserve">Two captured Chinese first-party sources describe a coordinated digital-governance posture: a State Council normative notice and a CAC enforcement announcement, both captured on 2026-03-30.</w:t>
      </w:r>
    </w:p>
    <w:p/>
    <w:p>
      <w:pPr>
        <w:pStyle w:val="Heading2"/>
      </w:pPr>
      <w:r>
        <w:t xml:space="preserve">2. Findings</w:t>
      </w:r>
    </w:p>
    <w:p>
      <w:r>
        <w:t xml:space="preserve">**2.1 State Council establishes graded data security regime.** The State Council notice requires all regions and departments to build a graded and classified data security management system</w:t>
      </w:r>
      <w:r>
        <w:rPr>
          <w:vertAlign w:val="superscript"/>
        </w:rPr>
        <w:t xml:space="preserve">[1]</w:t>
      </w:r>
      <w:r>
        <w:t xml:space="preserve">. The notice is binding on all administrative levels.</w:t>
      </w:r>
    </w:p>
    <w:p>
      <w:r>
        <w:t xml:space="preserve">**2.2 CAC opens a one-month cross-border enforcement window.** The Cyberspace Administration of China announced a one-month special enforcement campaign focused on entities that have not completed the required cross-border data transfer security assessment</w:t>
      </w:r>
      <w:r>
        <w:rPr>
          <w:vertAlign w:val="superscript"/>
        </w:rPr>
        <w:t xml:space="preserve">[2]</w:t>
      </w:r>
      <w:r>
        <w:t xml:space="preserve">.</w:t>
      </w:r>
    </w:p>
    <w:p>
      <w:r>
        <w:t xml:space="preserve">**2.3 Cross-source pattern.** The two captures, taken together, show the State Council's normative posture being given an operational expression by a regulator within the same week</w:t>
      </w:r>
      <w:r>
        <w:rPr>
          <w:vertAlign w:val="superscript"/>
        </w:rPr>
        <w:t xml:space="preserve">[1]</w:t>
      </w:r>
      <w:r>
        <w:rPr>
          <w:vertAlign w:val="superscript"/>
        </w:rPr>
        <w:t xml:space="preserve">[2]</w:t>
      </w:r>
      <w:r>
        <w:t xml:space="preserve">.</w:t>
      </w:r>
    </w:p>
    <w:p/>
    <w:p>
      <w:pPr>
        <w:pStyle w:val="Heading2"/>
      </w:pPr>
      <w:r>
        <w:t xml:space="preserve">3. Evidence</w:t>
      </w:r>
    </w:p>
    <w:p>
      <w:r>
        <w:t xml:space="preserve">Two evidence records were assembled, both from L1 normative / L4 regulator sources. Each footnote in this report resolves to a captured `source_version_id` preserved in the platform store.</w:t>
      </w:r>
    </w:p>
    <w:p/>
    <w:p>
      <w:pPr>
        <w:pStyle w:val="Heading2"/>
      </w:pPr>
      <w:r>
        <w:t xml:space="preserve">4. Implications</w:t>
      </w:r>
    </w:p>
    <w:p>
      <w:r>
        <w:t xml:space="preserve">Downstream sectoral and data-class rules can now attach to the State Council notice as a normative anchor</w:t>
      </w:r>
      <w:r>
        <w:rPr>
          <w:vertAlign w:val="superscript"/>
        </w:rPr>
        <w:t xml:space="preserve">[1]</w:t>
      </w:r>
      <w:r>
        <w:t xml:space="preserve">. The enforcement campaign anchors a concrete observation point regardless of whether activity persists past the one-month window</w:t>
      </w:r>
      <w:r>
        <w:rPr>
          <w:vertAlign w:val="superscript"/>
        </w:rPr>
        <w:t xml:space="preserve">[2]</w:t>
      </w:r>
      <w:r>
        <w:t xml:space="preserve">.</w:t>
      </w:r>
    </w:p>
    <w:p/>
    <w:p>
      <w:pPr>
        <w:pStyle w:val="Heading2"/>
      </w:pPr>
      <w:r>
        <w:t xml:space="preserve">5. Constraints and caveats</w:t>
      </w:r>
    </w:p>
    <w:p>
      <w:r>
        <w:t xml:space="preserve">- This report is bounded to the demo source set (8 sources). It makes no claim about sources outside that set.
- Findings describe published policy, not measured implementation.
- Translations in the body are derivative; the Chinese spans in the footnotes are canonical.
- No generative synthesis was used. Body text is assembled deterministically from accepted claims.</w:t>
      </w:r>
    </w:p>
    <w:p/>
    <w:p>
      <w:pPr>
        <w:pStyle w:val="Heading2"/>
      </w:pPr>
      <w:r>
        <w:t xml:space="preserve">6. Methodology</w:t>
      </w:r>
    </w:p>
    <w:p>
      <w:r>
        <w:t xml:space="preserve">Assembled via XINAPI's deterministic-extractive report path. Evidence is drawn from human-accepted claims only. Footnote ordinals are stable across markdown, PDF, and DOCX renderers.</w:t>
      </w:r>
    </w:p>
    <w:p/>
    <w:p>
      <w:pPr>
        <w:pStyle w:val="Heading2"/>
      </w:pPr>
      <w:r>
        <w:t xml:space="preserve">Notes</w:t>
      </w:r>
    </w:p>
    <w:p>
      <w:r>
        <w:rPr>
          <w:b/>
          <w:bCs/>
        </w:rPr>
        <w:t xml:space="preserve">[1] </w:t>
      </w:r>
      <w:r>
        <w:t xml:space="preserve">国务院, "国务院关于网络安全和数据保护的通知", 2026-03-30, https://www.gov.cn/policy/v-demo-2026-03-30, accessed 2026-03-30. "第一条 各地区各部门应当按照本通知的要求，全面落实网络安全和数据保护责任，建立分级分类的数据安全管理制度。"</w:t>
      </w:r>
    </w:p>
    <w:p>
      <w:r>
        <w:rPr>
          <w:b/>
          <w:bCs/>
        </w:rPr>
        <w:t xml:space="preserve">[2] </w:t>
      </w:r>
      <w:r>
        <w:t xml:space="preserve">国家网信办, "国家网信办数据出境专项行动公告", 2026-03-30, https://www.cac.gov.cn/notice/v-demo-2026-03-30, accessed 2026-03-30. "国家网信办决定开展为期一个月的数据出境专项行动，重点检查未按规定开展数据出境安全评估的行为。"</w:t>
      </w:r>
    </w:p>
    <w:p/>
    <w:p>
      <w:pPr>
        <w:pStyle w:val="Heading2"/>
      </w:pPr>
      <w:r>
        <w:t xml:space="preserve">Methodology</w:t>
      </w:r>
    </w:p>
    <w:p>
      <w:r>
        <w:t xml:space="preserve">This report was assembled using XINAPI extractive report generation. All analytical claims are drawn from accepted (reviewer-approved) items only. Each claim listed in Key Findings is footnoted to its source evidence. Sections marked [Analytical Inference] represent synthesis across multiple sources rather than direct quotation. Sections marked [Uncertainty Note] or [Coverage Limitation] flag known gaps in the evidence base.</w:t>
      </w:r>
    </w:p>
    <w:p/>
    <w:p>
      <w:r>
        <w:t xml:space="preserve">Source evidence derives from the XINAPI automated priority source set. Manual-only channels (e.g. WeChat Official Accounts without automated acquisition) are excluded from the automated claim set and are not represented in this report unless explicitly noted.</w:t>
      </w:r>
    </w:p>
    <w:p/>
    <w:p>
      <w:pPr>
        <w:jc w:val="right"/>
      </w:pPr>
      <w:r>
        <w:rPr>
          <w:color w:val="AAAAAA"/>
          <w:sz w:val="16"/>
          <w:szCs w:val="16"/>
        </w:rPr>
        <w:t xml:space="preserve">Report ID: rpt-report-dg | Generated by XINAPI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2026-04-21T01:04:56.013Z</dcterms:created>
  <dcterms:modified xsi:type="dcterms:W3CDTF">2026-04-21T01:04:56.013Z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